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1807" w:right="0" w:hanging="1807" w:hangingChars="500"/>
        <w:jc w:val="both"/>
        <w:rPr>
          <w:rFonts w:hint="default" w:ascii="SourceHanSansCN-Regular" w:hAnsi="SourceHanSansCN-Regular" w:eastAsia="SourceHanSansCN-Regular" w:cs="SourceHanSansCN-Regular"/>
          <w:i w:val="0"/>
          <w:iCs w:val="0"/>
          <w:caps w:val="0"/>
          <w:color w:val="333333"/>
          <w:spacing w:val="0"/>
          <w:sz w:val="16"/>
          <w:szCs w:val="16"/>
        </w:rPr>
      </w:pPr>
      <w:bookmarkStart w:id="0" w:name="_GoBack"/>
      <w:r>
        <w:rPr>
          <w:rFonts w:hint="eastAsia" w:ascii="宋体" w:hAnsi="宋体" w:eastAsia="宋体" w:cs="宋体"/>
          <w:b/>
          <w:bCs/>
          <w:i w:val="0"/>
          <w:iCs w:val="0"/>
          <w:caps w:val="0"/>
          <w:color w:val="333333"/>
          <w:spacing w:val="0"/>
          <w:kern w:val="0"/>
          <w:sz w:val="36"/>
          <w:szCs w:val="36"/>
          <w:shd w:val="clear" w:fill="FFFFFF"/>
          <w:lang w:val="en-US" w:eastAsia="zh-CN" w:bidi="ar"/>
        </w:rPr>
        <w:t>江西亿亩公社商业控股集团有限公司设备供应商单位入库遴选项目入围结果公示</w:t>
      </w:r>
      <w:r>
        <w:rPr>
          <w:rFonts w:hint="eastAsia" w:ascii="宋体" w:hAnsi="宋体" w:eastAsia="宋体" w:cs="宋体"/>
          <w:b/>
          <w:bCs/>
          <w:i w:val="0"/>
          <w:iCs w:val="0"/>
          <w:caps w:val="0"/>
          <w:color w:val="333333"/>
          <w:spacing w:val="0"/>
          <w:kern w:val="0"/>
          <w:sz w:val="28"/>
          <w:szCs w:val="28"/>
          <w:shd w:val="clear" w:fill="FFFFFF"/>
          <w:lang w:val="en-US" w:eastAsia="zh-CN" w:bidi="ar"/>
        </w:rPr>
        <w:t> </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480" w:firstLineChars="200"/>
        <w:jc w:val="left"/>
        <w:rPr>
          <w:rFonts w:hint="default" w:ascii="SourceHanSansCN-Regular" w:hAnsi="SourceHanSansCN-Regular" w:eastAsia="SourceHanSansCN-Regular" w:cs="SourceHanSansCN-Regular"/>
          <w:i w:val="0"/>
          <w:iCs w:val="0"/>
          <w:caps w:val="0"/>
          <w:color w:val="333333"/>
          <w:spacing w:val="0"/>
          <w:sz w:val="16"/>
          <w:szCs w:val="16"/>
        </w:rPr>
      </w:pPr>
      <w:r>
        <w:rPr>
          <w:rFonts w:hint="eastAsia" w:ascii="宋体" w:hAnsi="宋体" w:eastAsia="宋体" w:cs="宋体"/>
          <w:i w:val="0"/>
          <w:iCs w:val="0"/>
          <w:caps w:val="0"/>
          <w:color w:val="333333"/>
          <w:spacing w:val="0"/>
          <w:kern w:val="0"/>
          <w:sz w:val="24"/>
          <w:szCs w:val="24"/>
          <w:shd w:val="clear" w:fill="FFFFFF"/>
          <w:lang w:val="en-US" w:eastAsia="zh-CN" w:bidi="ar"/>
        </w:rPr>
        <w:t>江西亿亩公社商业控股集团有限公司设备供应商单位入库遴选项目于2024年3月26日9:30时在</w:t>
      </w:r>
      <w:r>
        <w:rPr>
          <w:rFonts w:hint="eastAsia"/>
          <w:sz w:val="24"/>
          <w:lang w:val="en-US" w:eastAsia="zh-CN"/>
        </w:rPr>
        <w:t>江西省南昌市红谷滩区绿地中央广场A1栋写字楼1902室举行现场开标仪式。</w:t>
      </w:r>
      <w:r>
        <w:rPr>
          <w:rFonts w:hint="eastAsia" w:ascii="宋体" w:hAnsi="宋体" w:eastAsia="宋体" w:cs="宋体"/>
          <w:i w:val="0"/>
          <w:iCs w:val="0"/>
          <w:caps w:val="0"/>
          <w:color w:val="333333"/>
          <w:spacing w:val="0"/>
          <w:kern w:val="0"/>
          <w:sz w:val="24"/>
          <w:szCs w:val="24"/>
          <w:shd w:val="clear" w:fill="FFFFFF"/>
          <w:lang w:val="en-US" w:eastAsia="zh-CN" w:bidi="ar"/>
        </w:rPr>
        <w:t>至投标截止时间</w:t>
      </w:r>
      <w:r>
        <w:rPr>
          <w:rFonts w:hint="eastAsia" w:ascii="宋体" w:hAnsi="宋体" w:eastAsia="宋体" w:cs="宋体"/>
          <w:i w:val="0"/>
          <w:iCs w:val="0"/>
          <w:caps w:val="0"/>
          <w:color w:val="000000"/>
          <w:spacing w:val="0"/>
          <w:kern w:val="0"/>
          <w:sz w:val="24"/>
          <w:szCs w:val="24"/>
          <w:shd w:val="clear" w:fill="FFFFFF"/>
          <w:lang w:val="en-US" w:eastAsia="zh-CN" w:bidi="ar"/>
        </w:rPr>
        <w:t>止，共有</w:t>
      </w:r>
      <w:r>
        <w:rPr>
          <w:rFonts w:hint="eastAsia" w:ascii="宋体" w:hAnsi="宋体" w:eastAsia="宋体" w:cs="宋体"/>
          <w:i w:val="0"/>
          <w:iCs w:val="0"/>
          <w:caps w:val="0"/>
          <w:color w:val="000000"/>
          <w:spacing w:val="0"/>
          <w:kern w:val="0"/>
          <w:sz w:val="24"/>
          <w:szCs w:val="24"/>
          <w:u w:val="single"/>
          <w:shd w:val="clear" w:fill="FFFFFF"/>
          <w:lang w:val="en-US" w:eastAsia="zh-CN" w:bidi="ar"/>
        </w:rPr>
        <w:t>6</w:t>
      </w:r>
      <w:r>
        <w:rPr>
          <w:rFonts w:hint="eastAsia" w:ascii="宋体" w:hAnsi="宋体" w:eastAsia="宋体" w:cs="宋体"/>
          <w:i w:val="0"/>
          <w:iCs w:val="0"/>
          <w:caps w:val="0"/>
          <w:color w:val="000000"/>
          <w:spacing w:val="0"/>
          <w:kern w:val="0"/>
          <w:sz w:val="24"/>
          <w:szCs w:val="24"/>
          <w:shd w:val="clear" w:fill="FFFFFF"/>
          <w:lang w:val="en-US" w:eastAsia="zh-CN" w:bidi="ar"/>
        </w:rPr>
        <w:t>家投标单位参加并递交了投标文件，开标现场</w:t>
      </w:r>
      <w:r>
        <w:rPr>
          <w:rFonts w:hint="eastAsia" w:ascii="宋体" w:hAnsi="宋体" w:eastAsia="宋体" w:cs="宋体"/>
          <w:i w:val="0"/>
          <w:iCs w:val="0"/>
          <w:caps w:val="0"/>
          <w:color w:val="000000"/>
          <w:spacing w:val="0"/>
          <w:kern w:val="0"/>
          <w:sz w:val="24"/>
          <w:szCs w:val="24"/>
          <w:u w:val="single"/>
          <w:shd w:val="clear" w:fill="FFFFFF"/>
          <w:lang w:val="en-US" w:eastAsia="zh-CN" w:bidi="ar"/>
        </w:rPr>
        <w:t>6</w:t>
      </w:r>
      <w:r>
        <w:rPr>
          <w:rFonts w:hint="eastAsia" w:ascii="宋体" w:hAnsi="宋体" w:eastAsia="宋体" w:cs="宋体"/>
          <w:i w:val="0"/>
          <w:iCs w:val="0"/>
          <w:caps w:val="0"/>
          <w:color w:val="000000"/>
          <w:spacing w:val="0"/>
          <w:kern w:val="0"/>
          <w:sz w:val="24"/>
          <w:szCs w:val="24"/>
          <w:shd w:val="clear" w:fill="FFFFFF"/>
          <w:lang w:val="en-US" w:eastAsia="zh-CN" w:bidi="ar"/>
        </w:rPr>
        <w:t>家投标单位进入资格评审。详细情况如下：</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default"/>
        </w:rPr>
      </w:pPr>
      <w:r>
        <w:rPr>
          <w:rFonts w:hint="eastAsia" w:ascii="宋体" w:hAnsi="宋体" w:eastAsia="宋体" w:cs="宋体"/>
          <w:i w:val="0"/>
          <w:iCs w:val="0"/>
          <w:caps w:val="0"/>
          <w:color w:val="333333"/>
          <w:spacing w:val="0"/>
          <w:kern w:val="0"/>
          <w:sz w:val="24"/>
          <w:szCs w:val="24"/>
          <w:shd w:val="clear" w:fill="FFFFFF"/>
          <w:lang w:val="en-US" w:eastAsia="zh-CN" w:bidi="ar"/>
        </w:rPr>
        <w:t>投标单位名称及资格评审结果：</w:t>
      </w:r>
    </w:p>
    <w:tbl>
      <w:tblPr>
        <w:tblStyle w:val="4"/>
        <w:tblW w:w="959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70"/>
        <w:gridCol w:w="4882"/>
        <w:gridCol w:w="4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pPr>
            <w:r>
              <w:rPr>
                <w:rFonts w:ascii="新宋体" w:hAnsi="新宋体" w:eastAsia="新宋体" w:cs="新宋体"/>
                <w:i w:val="0"/>
                <w:iCs w:val="0"/>
                <w:color w:val="000000"/>
                <w:kern w:val="0"/>
                <w:sz w:val="22"/>
                <w:szCs w:val="22"/>
                <w:lang w:val="en-US" w:eastAsia="zh-CN" w:bidi="ar"/>
              </w:rPr>
              <w:t>序号</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pPr>
            <w:r>
              <w:rPr>
                <w:rFonts w:hint="eastAsia" w:ascii="新宋体" w:hAnsi="新宋体" w:eastAsia="新宋体" w:cs="新宋体"/>
                <w:i w:val="0"/>
                <w:iCs w:val="0"/>
                <w:color w:val="000000"/>
                <w:kern w:val="0"/>
                <w:sz w:val="22"/>
                <w:szCs w:val="22"/>
                <w:lang w:val="en-US" w:eastAsia="zh-CN" w:bidi="ar"/>
              </w:rPr>
              <w:t>投标单位名称</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pPr>
            <w:r>
              <w:rPr>
                <w:rFonts w:hint="eastAsia" w:ascii="新宋体" w:hAnsi="新宋体" w:eastAsia="新宋体" w:cs="新宋体"/>
                <w:i w:val="0"/>
                <w:iCs w:val="0"/>
                <w:color w:val="000000"/>
                <w:kern w:val="0"/>
                <w:sz w:val="22"/>
                <w:szCs w:val="22"/>
                <w:lang w:val="en-US" w:eastAsia="zh-CN" w:bidi="ar"/>
              </w:rPr>
              <w:t>资格审查结果或废标原因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spacing w:line="0" w:lineRule="atLeast"/>
              <w:jc w:val="center"/>
              <w:rPr>
                <w:rFonts w:ascii="新宋体" w:hAnsi="新宋体" w:eastAsia="新宋体" w:cs="新宋体"/>
                <w:i w:val="0"/>
                <w:iCs w:val="0"/>
                <w:color w:val="000000"/>
                <w:kern w:val="0"/>
                <w:sz w:val="22"/>
                <w:szCs w:val="22"/>
                <w:lang w:val="en-US" w:eastAsia="zh-CN" w:bidi="ar"/>
              </w:rPr>
            </w:pPr>
            <w:r>
              <w:rPr>
                <w:rFonts w:hint="eastAsia" w:ascii="仿宋_GB2312" w:eastAsia="仿宋_GB2312"/>
                <w:color w:val="000000"/>
                <w:sz w:val="24"/>
              </w:rPr>
              <w:t>1</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spacing w:line="460" w:lineRule="exact"/>
              <w:jc w:val="left"/>
              <w:rPr>
                <w:rFonts w:hint="eastAsia" w:ascii="新宋体" w:hAnsi="新宋体" w:eastAsia="新宋体" w:cs="新宋体"/>
                <w:i w:val="0"/>
                <w:iCs w:val="0"/>
                <w:color w:val="000000"/>
                <w:kern w:val="0"/>
                <w:sz w:val="22"/>
                <w:szCs w:val="22"/>
                <w:lang w:val="en-US" w:eastAsia="zh-CN" w:bidi="ar"/>
              </w:rPr>
            </w:pPr>
            <w:r>
              <w:rPr>
                <w:rFonts w:hint="eastAsia" w:ascii="Times New Roman" w:hAnsi="Times New Roman" w:eastAsia="宋体" w:cs="Times New Roman"/>
                <w:color w:val="000000"/>
                <w:sz w:val="24"/>
                <w:szCs w:val="36"/>
                <w:lang w:eastAsia="zh-CN"/>
              </w:rPr>
              <w:t>衡东辉远科技有限公司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eastAsiaTheme="minorEastAsia"/>
                <w:lang w:val="en-US" w:eastAsia="zh-CN"/>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spacing w:line="0" w:lineRule="atLeast"/>
              <w:jc w:val="center"/>
              <w:rPr>
                <w:rFonts w:ascii="新宋体" w:hAnsi="新宋体" w:eastAsia="新宋体" w:cs="新宋体"/>
                <w:i w:val="0"/>
                <w:iCs w:val="0"/>
                <w:color w:val="000000"/>
                <w:kern w:val="0"/>
                <w:sz w:val="22"/>
                <w:szCs w:val="22"/>
                <w:lang w:val="en-US" w:eastAsia="zh-CN" w:bidi="ar"/>
              </w:rPr>
            </w:pPr>
            <w:r>
              <w:rPr>
                <w:rFonts w:hint="eastAsia" w:ascii="仿宋_GB2312" w:eastAsia="仿宋_GB2312"/>
                <w:color w:val="000000"/>
                <w:sz w:val="24"/>
              </w:rPr>
              <w:t>2</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spacing w:line="460" w:lineRule="exact"/>
              <w:jc w:val="left"/>
              <w:rPr>
                <w:rFonts w:hint="eastAsia" w:ascii="新宋体" w:hAnsi="新宋体" w:eastAsia="新宋体" w:cs="新宋体"/>
                <w:i w:val="0"/>
                <w:iCs w:val="0"/>
                <w:color w:val="000000"/>
                <w:kern w:val="0"/>
                <w:sz w:val="22"/>
                <w:szCs w:val="22"/>
                <w:lang w:val="en-US" w:eastAsia="zh-CN" w:bidi="ar"/>
              </w:rPr>
            </w:pPr>
            <w:r>
              <w:rPr>
                <w:rFonts w:hint="eastAsia" w:ascii="Times New Roman" w:hAnsi="Times New Roman" w:eastAsia="宋体" w:cs="Times New Roman"/>
                <w:color w:val="000000"/>
                <w:sz w:val="24"/>
                <w:szCs w:val="36"/>
                <w:lang w:eastAsia="zh-CN"/>
              </w:rPr>
              <w:t>安徽聚盛科技有限公司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ascii="新宋体" w:hAnsi="新宋体" w:eastAsia="新宋体" w:cs="新宋体"/>
                <w:i w:val="0"/>
                <w:iCs w:val="0"/>
                <w:color w:val="000000"/>
                <w:kern w:val="0"/>
                <w:sz w:val="22"/>
                <w:szCs w:val="22"/>
                <w:lang w:val="en-US" w:eastAsia="zh-CN" w:bidi="ar"/>
              </w:rPr>
            </w:pPr>
            <w:r>
              <w:rPr>
                <w:rFonts w:hint="eastAsia"/>
                <w:lang w:val="en-US" w:eastAsia="zh-CN"/>
              </w:rPr>
              <w:t>不合格（未提供资审有关业绩）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spacing w:line="0" w:lineRule="atLeast"/>
              <w:jc w:val="center"/>
              <w:rPr>
                <w:rFonts w:ascii="新宋体" w:hAnsi="新宋体" w:eastAsia="新宋体" w:cs="新宋体"/>
                <w:i w:val="0"/>
                <w:iCs w:val="0"/>
                <w:color w:val="000000"/>
                <w:kern w:val="0"/>
                <w:sz w:val="22"/>
                <w:szCs w:val="22"/>
                <w:lang w:val="en-US" w:eastAsia="zh-CN" w:bidi="ar"/>
              </w:rPr>
            </w:pPr>
            <w:r>
              <w:rPr>
                <w:rFonts w:hint="eastAsia" w:ascii="仿宋_GB2312" w:eastAsia="仿宋_GB2312"/>
                <w:color w:val="000000"/>
                <w:sz w:val="24"/>
              </w:rPr>
              <w:t>3</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spacing w:line="460" w:lineRule="exact"/>
              <w:jc w:val="left"/>
              <w:rPr>
                <w:rFonts w:hint="eastAsia" w:ascii="新宋体" w:hAnsi="新宋体" w:eastAsia="新宋体" w:cs="新宋体"/>
                <w:i w:val="0"/>
                <w:iCs w:val="0"/>
                <w:color w:val="000000"/>
                <w:kern w:val="0"/>
                <w:sz w:val="22"/>
                <w:szCs w:val="22"/>
                <w:lang w:val="en-US" w:eastAsia="zh-CN" w:bidi="ar"/>
              </w:rPr>
            </w:pPr>
            <w:r>
              <w:rPr>
                <w:rFonts w:hint="eastAsia" w:ascii="Times New Roman" w:hAnsi="Times New Roman" w:eastAsia="宋体" w:cs="Times New Roman"/>
                <w:color w:val="000000"/>
                <w:sz w:val="24"/>
                <w:szCs w:val="36"/>
                <w:lang w:eastAsia="zh-CN"/>
              </w:rPr>
              <w:t>安徽天德智能装备制造有限公司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default" w:ascii="新宋体" w:hAnsi="新宋体" w:eastAsia="新宋体" w:cs="新宋体"/>
                <w:i w:val="0"/>
                <w:iCs w:val="0"/>
                <w:color w:val="000000"/>
                <w:kern w:val="0"/>
                <w:sz w:val="22"/>
                <w:szCs w:val="22"/>
                <w:lang w:val="en-US" w:eastAsia="zh-CN" w:bidi="ar"/>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spacing w:line="0" w:lineRule="atLeast"/>
              <w:jc w:val="center"/>
              <w:rPr>
                <w:rFonts w:ascii="新宋体" w:hAnsi="新宋体" w:eastAsia="新宋体" w:cs="新宋体"/>
                <w:i w:val="0"/>
                <w:iCs w:val="0"/>
                <w:color w:val="000000"/>
                <w:kern w:val="0"/>
                <w:sz w:val="22"/>
                <w:szCs w:val="22"/>
                <w:lang w:val="en-US" w:eastAsia="zh-CN" w:bidi="ar"/>
              </w:rPr>
            </w:pPr>
            <w:r>
              <w:rPr>
                <w:rFonts w:hint="eastAsia" w:ascii="仿宋_GB2312" w:eastAsia="仿宋_GB2312"/>
                <w:b w:val="0"/>
                <w:bCs w:val="0"/>
                <w:color w:val="000000"/>
                <w:sz w:val="24"/>
                <w:u w:val="none"/>
              </w:rPr>
              <w:t>4</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spacing w:line="460" w:lineRule="exact"/>
              <w:jc w:val="left"/>
              <w:rPr>
                <w:rFonts w:hint="eastAsia" w:ascii="新宋体" w:hAnsi="新宋体" w:eastAsia="新宋体" w:cs="新宋体"/>
                <w:i w:val="0"/>
                <w:iCs w:val="0"/>
                <w:color w:val="000000"/>
                <w:kern w:val="0"/>
                <w:sz w:val="22"/>
                <w:szCs w:val="22"/>
                <w:lang w:val="en-US" w:eastAsia="zh-CN" w:bidi="ar"/>
              </w:rPr>
            </w:pPr>
            <w:r>
              <w:rPr>
                <w:rFonts w:hint="eastAsia"/>
                <w:color w:val="000000"/>
                <w:sz w:val="24"/>
                <w:szCs w:val="36"/>
              </w:rPr>
              <w:t>湖南飞鹰农耘科技有限公司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ascii="新宋体" w:hAnsi="新宋体" w:eastAsia="新宋体" w:cs="新宋体"/>
                <w:i w:val="0"/>
                <w:iCs w:val="0"/>
                <w:color w:val="000000"/>
                <w:kern w:val="0"/>
                <w:sz w:val="22"/>
                <w:szCs w:val="22"/>
                <w:lang w:val="en-US" w:eastAsia="zh-CN" w:bidi="ar"/>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spacing w:line="0" w:lineRule="atLeast"/>
              <w:jc w:val="center"/>
              <w:rPr>
                <w:rFonts w:ascii="新宋体" w:hAnsi="新宋体" w:eastAsia="新宋体" w:cs="新宋体"/>
                <w:i w:val="0"/>
                <w:iCs w:val="0"/>
                <w:color w:val="000000"/>
                <w:kern w:val="0"/>
                <w:sz w:val="22"/>
                <w:szCs w:val="22"/>
                <w:lang w:val="en-US" w:eastAsia="zh-CN" w:bidi="ar"/>
              </w:rPr>
            </w:pPr>
            <w:r>
              <w:rPr>
                <w:rFonts w:hint="eastAsia" w:ascii="仿宋_GB2312" w:eastAsia="仿宋_GB2312"/>
                <w:b w:val="0"/>
                <w:bCs w:val="0"/>
                <w:color w:val="000000"/>
                <w:sz w:val="24"/>
                <w:u w:val="none"/>
              </w:rPr>
              <w:t>5</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spacing w:line="460" w:lineRule="exact"/>
              <w:jc w:val="left"/>
              <w:rPr>
                <w:rFonts w:hint="eastAsia" w:ascii="新宋体" w:hAnsi="新宋体" w:eastAsia="新宋体" w:cs="新宋体"/>
                <w:i w:val="0"/>
                <w:iCs w:val="0"/>
                <w:color w:val="000000"/>
                <w:kern w:val="0"/>
                <w:sz w:val="22"/>
                <w:szCs w:val="22"/>
                <w:lang w:val="en-US" w:eastAsia="zh-CN" w:bidi="ar"/>
              </w:rPr>
            </w:pPr>
            <w:r>
              <w:rPr>
                <w:rFonts w:hint="eastAsia" w:ascii="Times New Roman" w:hAnsi="Times New Roman" w:eastAsia="宋体" w:cs="Times New Roman"/>
                <w:color w:val="000000"/>
                <w:sz w:val="24"/>
                <w:szCs w:val="36"/>
              </w:rPr>
              <w:t>杭州赛得林智能装备有限公司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ascii="新宋体" w:hAnsi="新宋体" w:eastAsia="新宋体" w:cs="新宋体"/>
                <w:i w:val="0"/>
                <w:iCs w:val="0"/>
                <w:color w:val="000000"/>
                <w:kern w:val="0"/>
                <w:sz w:val="22"/>
                <w:szCs w:val="22"/>
                <w:lang w:val="en-US" w:eastAsia="zh-CN" w:bidi="ar"/>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spacing w:line="0" w:lineRule="atLeast"/>
              <w:jc w:val="center"/>
              <w:rPr>
                <w:rFonts w:hint="default" w:ascii="新宋体" w:hAnsi="新宋体" w:eastAsia="新宋体" w:cs="新宋体"/>
                <w:i w:val="0"/>
                <w:iCs w:val="0"/>
                <w:color w:val="000000"/>
                <w:kern w:val="0"/>
                <w:sz w:val="22"/>
                <w:szCs w:val="22"/>
                <w:lang w:val="en-US" w:eastAsia="zh-CN" w:bidi="ar"/>
              </w:rPr>
            </w:pPr>
            <w:r>
              <w:rPr>
                <w:rFonts w:hint="eastAsia" w:ascii="新宋体" w:hAnsi="新宋体" w:eastAsia="新宋体" w:cs="新宋体"/>
                <w:i w:val="0"/>
                <w:iCs w:val="0"/>
                <w:color w:val="000000"/>
                <w:kern w:val="0"/>
                <w:sz w:val="22"/>
                <w:szCs w:val="22"/>
                <w:lang w:val="en-US" w:eastAsia="zh-CN" w:bidi="ar"/>
              </w:rPr>
              <w:t>6</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spacing w:line="460" w:lineRule="exact"/>
              <w:jc w:val="left"/>
              <w:rPr>
                <w:rFonts w:hint="eastAsia" w:ascii="新宋体" w:hAnsi="新宋体" w:eastAsia="新宋体" w:cs="新宋体"/>
                <w:i w:val="0"/>
                <w:iCs w:val="0"/>
                <w:color w:val="000000"/>
                <w:kern w:val="0"/>
                <w:sz w:val="22"/>
                <w:szCs w:val="22"/>
                <w:lang w:val="en-US" w:eastAsia="zh-CN" w:bidi="ar"/>
              </w:rPr>
            </w:pPr>
            <w:r>
              <w:rPr>
                <w:rFonts w:hint="eastAsia" w:ascii="Times New Roman" w:hAnsi="Times New Roman" w:eastAsia="宋体" w:cs="Times New Roman"/>
                <w:color w:val="000000"/>
                <w:sz w:val="24"/>
                <w:szCs w:val="36"/>
              </w:rPr>
              <w:t>扬州市金谷机械有限公司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ascii="新宋体" w:hAnsi="新宋体" w:eastAsia="新宋体" w:cs="新宋体"/>
                <w:i w:val="0"/>
                <w:iCs w:val="0"/>
                <w:color w:val="000000"/>
                <w:kern w:val="0"/>
                <w:sz w:val="22"/>
                <w:szCs w:val="22"/>
                <w:lang w:val="en-US" w:eastAsia="zh-CN" w:bidi="ar"/>
              </w:rPr>
            </w:pPr>
            <w:r>
              <w:rPr>
                <w:rFonts w:hint="eastAsia"/>
                <w:lang w:val="en-US" w:eastAsia="zh-CN"/>
              </w:rPr>
              <w:t>不合格（标书未按要求装订成册，未提供资审有关业绩）</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default" w:ascii="SourceHanSansCN-Regular" w:hAnsi="SourceHanSansCN-Regular" w:eastAsia="SourceHanSansCN-Regular" w:cs="SourceHanSansCN-Regular"/>
          <w:i w:val="0"/>
          <w:iCs w:val="0"/>
          <w:caps w:val="0"/>
          <w:color w:val="333333"/>
          <w:spacing w:val="0"/>
          <w:sz w:val="16"/>
          <w:szCs w:val="16"/>
        </w:rPr>
      </w:pPr>
      <w:r>
        <w:rPr>
          <w:rFonts w:hint="eastAsia" w:ascii="宋体" w:hAnsi="宋体" w:eastAsia="宋体" w:cs="宋体"/>
          <w:i w:val="0"/>
          <w:iCs w:val="0"/>
          <w:caps w:val="0"/>
          <w:color w:val="333333"/>
          <w:spacing w:val="0"/>
          <w:kern w:val="0"/>
          <w:sz w:val="21"/>
          <w:szCs w:val="21"/>
          <w:shd w:val="clear" w:fill="FFFFFF"/>
          <w:lang w:val="en-US" w:eastAsia="zh-CN" w:bidi="ar"/>
        </w:rPr>
        <w:t>2.经评标专家委员会评审，确定了本项目入围结果，现公示如下：</w:t>
      </w:r>
    </w:p>
    <w:tbl>
      <w:tblPr>
        <w:tblStyle w:val="4"/>
        <w:tblW w:w="8520"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02"/>
        <w:gridCol w:w="4430"/>
        <w:gridCol w:w="1444"/>
        <w:gridCol w:w="14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eastAsiaTheme="minorEastAsia"/>
                <w:lang w:val="en-US" w:eastAsia="zh-CN"/>
              </w:rPr>
            </w:pPr>
            <w:r>
              <w:rPr>
                <w:rFonts w:hint="eastAsia"/>
                <w:lang w:val="en-US" w:eastAsia="zh-CN"/>
              </w:rPr>
              <w:t>排名</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1890" w:firstLineChars="900"/>
              <w:jc w:val="left"/>
              <w:rPr>
                <w:rFonts w:hint="default" w:eastAsiaTheme="minorEastAsia"/>
                <w:lang w:val="en-US" w:eastAsia="zh-CN"/>
              </w:rPr>
            </w:pPr>
            <w:r>
              <w:rPr>
                <w:rFonts w:hint="eastAsia"/>
                <w:lang w:val="en-US" w:eastAsia="zh-CN"/>
              </w:rPr>
              <w:t>单位名称</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both"/>
              <w:rPr>
                <w:rFonts w:hint="default"/>
                <w:lang w:val="en-US" w:eastAsia="zh-CN"/>
              </w:rPr>
            </w:pPr>
            <w:r>
              <w:rPr>
                <w:rFonts w:hint="eastAsia"/>
                <w:lang w:val="en-US" w:eastAsia="zh-CN"/>
              </w:rPr>
              <w:t>得分</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default"/>
                <w:lang w:val="en-US" w:eastAsia="zh-CN"/>
              </w:rPr>
            </w:pPr>
            <w:r>
              <w:rPr>
                <w:rFonts w:hint="eastAsia"/>
                <w:lang w:val="en-US" w:eastAsia="zh-CN"/>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0" w:lineRule="atLeast"/>
              <w:jc w:val="center"/>
              <w:rPr>
                <w:rFonts w:hint="eastAsia"/>
                <w:lang w:val="en-US" w:eastAsia="zh-CN"/>
              </w:rPr>
            </w:pPr>
            <w:r>
              <w:rPr>
                <w:rFonts w:hint="eastAsia" w:ascii="仿宋_GB2312" w:eastAsia="仿宋_GB2312"/>
                <w:color w:val="000000"/>
                <w:sz w:val="24"/>
              </w:rPr>
              <w:t>1</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jc w:val="left"/>
              <w:rPr>
                <w:rFonts w:hint="eastAsia"/>
                <w:lang w:val="en-US" w:eastAsia="zh-CN"/>
              </w:rPr>
            </w:pPr>
            <w:r>
              <w:rPr>
                <w:rFonts w:hint="eastAsia"/>
                <w:color w:val="000000"/>
                <w:sz w:val="24"/>
                <w:szCs w:val="36"/>
              </w:rPr>
              <w:t>湖南飞鹰农耘科技有限公司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both"/>
              <w:rPr>
                <w:rFonts w:hint="default"/>
                <w:lang w:val="en-US" w:eastAsia="zh-CN"/>
              </w:rPr>
            </w:pPr>
            <w:r>
              <w:rPr>
                <w:rFonts w:hint="eastAsia"/>
                <w:lang w:val="en-US" w:eastAsia="zh-CN"/>
              </w:rPr>
              <w:t>95.20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0" w:lineRule="atLeast"/>
              <w:jc w:val="center"/>
              <w:rPr>
                <w:rFonts w:hint="eastAsia"/>
                <w:lang w:val="en-US" w:eastAsia="zh-CN"/>
              </w:rPr>
            </w:pPr>
            <w:r>
              <w:rPr>
                <w:rFonts w:hint="eastAsia" w:ascii="仿宋_GB2312" w:eastAsia="仿宋_GB2312"/>
                <w:color w:val="000000"/>
                <w:sz w:val="24"/>
              </w:rPr>
              <w:t>2</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jc w:val="left"/>
              <w:rPr>
                <w:rFonts w:hint="eastAsia"/>
                <w:lang w:val="en-US" w:eastAsia="zh-CN"/>
              </w:rPr>
            </w:pPr>
            <w:r>
              <w:rPr>
                <w:rFonts w:hint="eastAsia" w:ascii="Times New Roman" w:hAnsi="Times New Roman" w:eastAsia="宋体" w:cs="Times New Roman"/>
                <w:color w:val="000000"/>
                <w:sz w:val="24"/>
                <w:szCs w:val="36"/>
                <w:lang w:eastAsia="zh-CN"/>
              </w:rPr>
              <w:t>衡东辉远科技有限公司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both"/>
              <w:rPr>
                <w:rFonts w:hint="default"/>
                <w:lang w:val="en-US" w:eastAsia="zh-CN"/>
              </w:rPr>
            </w:pPr>
            <w:r>
              <w:rPr>
                <w:rFonts w:hint="eastAsia"/>
                <w:lang w:val="en-US" w:eastAsia="zh-CN"/>
              </w:rPr>
              <w:t>90.40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0" w:lineRule="atLeast"/>
              <w:jc w:val="center"/>
              <w:rPr>
                <w:rFonts w:hint="eastAsia"/>
                <w:lang w:val="en-US" w:eastAsia="zh-CN"/>
              </w:rPr>
            </w:pPr>
            <w:r>
              <w:rPr>
                <w:rFonts w:hint="eastAsia" w:ascii="仿宋_GB2312" w:eastAsia="仿宋_GB2312"/>
                <w:color w:val="000000"/>
                <w:sz w:val="24"/>
              </w:rPr>
              <w:t>3</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jc w:val="left"/>
              <w:rPr>
                <w:rFonts w:hint="eastAsia"/>
                <w:lang w:val="en-US" w:eastAsia="zh-CN"/>
              </w:rPr>
            </w:pPr>
            <w:r>
              <w:rPr>
                <w:rFonts w:hint="eastAsia" w:ascii="Times New Roman" w:hAnsi="Times New Roman" w:eastAsia="宋体" w:cs="Times New Roman"/>
                <w:color w:val="000000"/>
                <w:sz w:val="24"/>
                <w:szCs w:val="36"/>
              </w:rPr>
              <w:t>杭州赛得林智能装备有限公司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both"/>
              <w:rPr>
                <w:rFonts w:hint="default"/>
                <w:lang w:val="en-US" w:eastAsia="zh-CN"/>
              </w:rPr>
            </w:pPr>
            <w:r>
              <w:rPr>
                <w:rFonts w:hint="eastAsia"/>
                <w:lang w:val="en-US" w:eastAsia="zh-CN"/>
              </w:rPr>
              <w:t>83.80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0" w:lineRule="atLeast"/>
              <w:jc w:val="center"/>
              <w:rPr>
                <w:rFonts w:hint="eastAsia"/>
                <w:lang w:val="en-US" w:eastAsia="zh-CN"/>
              </w:rPr>
            </w:pPr>
            <w:r>
              <w:rPr>
                <w:rFonts w:hint="eastAsia" w:ascii="仿宋_GB2312" w:eastAsia="仿宋_GB2312"/>
                <w:b w:val="0"/>
                <w:bCs w:val="0"/>
                <w:color w:val="000000"/>
                <w:sz w:val="24"/>
                <w:u w:val="none"/>
              </w:rPr>
              <w:t>4</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jc w:val="left"/>
              <w:rPr>
                <w:rFonts w:hint="eastAsia"/>
                <w:lang w:val="en-US" w:eastAsia="zh-CN"/>
              </w:rPr>
            </w:pPr>
            <w:r>
              <w:rPr>
                <w:rFonts w:hint="eastAsia" w:ascii="Times New Roman" w:hAnsi="Times New Roman" w:eastAsia="宋体" w:cs="Times New Roman"/>
                <w:color w:val="000000"/>
                <w:sz w:val="24"/>
                <w:szCs w:val="36"/>
                <w:lang w:eastAsia="zh-CN"/>
              </w:rPr>
              <w:t>安徽天德智能装备制造有限公司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76.20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default"/>
                <w:lang w:val="en-US" w:eastAsia="zh-CN"/>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default" w:ascii="SourceHanSansCN-Regular" w:hAnsi="SourceHanSansCN-Regular" w:eastAsia="SourceHanSansCN-Regular" w:cs="SourceHanSansCN-Regular"/>
          <w:i w:val="0"/>
          <w:iCs w:val="0"/>
          <w:caps w:val="0"/>
          <w:color w:val="333333"/>
          <w:spacing w:val="0"/>
          <w:sz w:val="16"/>
          <w:szCs w:val="16"/>
        </w:rPr>
      </w:pPr>
      <w:r>
        <w:rPr>
          <w:rFonts w:hint="eastAsia" w:ascii="宋体" w:hAnsi="宋体" w:eastAsia="宋体" w:cs="宋体"/>
          <w:i w:val="0"/>
          <w:iCs w:val="0"/>
          <w:caps w:val="0"/>
          <w:color w:val="333333"/>
          <w:spacing w:val="0"/>
          <w:kern w:val="0"/>
          <w:sz w:val="24"/>
          <w:szCs w:val="24"/>
          <w:shd w:val="clear" w:fill="FFFFFF"/>
          <w:lang w:val="en-US" w:eastAsia="zh-CN" w:bidi="ar"/>
        </w:rPr>
        <w:t>根据《中华人民共和国招标投标法实施条例》第五十四条等有关法律法规规定，本次入围结果公示期为3天，公示起始日期为：2024年03月30日9：00至2024年04月01日17：00止。对上述结果如有异议，请按照有关法律法规规定和程序以书面的形式向如下单位提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45" w:right="0" w:hanging="1080"/>
        <w:jc w:val="left"/>
        <w:rPr>
          <w:rFonts w:hint="eastAsia" w:ascii="宋体" w:hAnsi="宋体" w:eastAsia="宋体" w:cs="宋体"/>
          <w:i w:val="0"/>
          <w:iCs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78" w:leftChars="108" w:right="0" w:hanging="751" w:hangingChars="313"/>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招 标 人：江西亿亩公社商业控股集团有限公司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78" w:leftChars="108" w:right="0" w:hanging="751" w:hangingChars="313"/>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联系人及联系方式：陈伟洪 18279196008，欧阳仙群 18970803283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45" w:right="0" w:hanging="1080"/>
        <w:jc w:val="left"/>
        <w:rPr>
          <w:rFonts w:hint="eastAsia" w:ascii="宋体" w:hAnsi="宋体" w:eastAsia="宋体" w:cs="宋体"/>
          <w:i w:val="0"/>
          <w:iCs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78" w:leftChars="108" w:right="0" w:hanging="751" w:hangingChars="313"/>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招标代理机构：江西欣正工程咨询有限公司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78" w:leftChars="108" w:right="0" w:hanging="751" w:hangingChars="313"/>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联系电话：18979281996  15707929000</w:t>
      </w:r>
    </w:p>
    <w:p>
      <w:pPr>
        <w:pStyle w:val="6"/>
        <w:rPr>
          <w:rFonts w:hint="eastAsia" w:ascii="宋体" w:hAnsi="宋体" w:eastAsia="宋体" w:cs="宋体"/>
          <w:i w:val="0"/>
          <w:iCs w:val="0"/>
          <w:caps w:val="0"/>
          <w:color w:val="333333"/>
          <w:spacing w:val="0"/>
          <w:kern w:val="0"/>
          <w:sz w:val="24"/>
          <w:szCs w:val="24"/>
          <w:shd w:val="clear" w:fill="FFFFFF"/>
          <w:lang w:val="en-US" w:eastAsia="zh-CN" w:bidi="ar"/>
        </w:rPr>
      </w:pPr>
    </w:p>
    <w:p>
      <w:pPr>
        <w:rPr>
          <w:rFonts w:hint="default"/>
          <w:lang w:val="en-US" w:eastAsia="zh-CN"/>
        </w:rPr>
      </w:pPr>
      <w:r>
        <w:rPr>
          <w:rFonts w:hint="eastAsia" w:ascii="宋体" w:hAnsi="宋体" w:eastAsia="宋体" w:cs="宋体"/>
          <w:i w:val="0"/>
          <w:iCs w:val="0"/>
          <w:caps w:val="0"/>
          <w:color w:val="333333"/>
          <w:spacing w:val="0"/>
          <w:kern w:val="0"/>
          <w:sz w:val="24"/>
          <w:szCs w:val="24"/>
          <w:shd w:val="clear" w:fill="FFFFFF"/>
          <w:lang w:val="en-US" w:eastAsia="zh-CN" w:bidi="ar"/>
        </w:rPr>
        <w:t xml:space="preserve">                                                2024年3月29日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45" w:right="0" w:hanging="1080"/>
        <w:jc w:val="left"/>
        <w:rPr>
          <w:rFonts w:hint="default" w:ascii="SourceHanSansCN-Regular" w:hAnsi="SourceHanSansCN-Regular" w:eastAsia="SourceHanSansCN-Regular" w:cs="SourceHanSansCN-Regular"/>
          <w:i w:val="0"/>
          <w:iCs w:val="0"/>
          <w:caps w:val="0"/>
          <w:color w:val="333333"/>
          <w:spacing w:val="0"/>
          <w:sz w:val="16"/>
          <w:szCs w:val="16"/>
        </w:rPr>
      </w:pPr>
      <w:r>
        <w:rPr>
          <w:rFonts w:hint="eastAsia" w:ascii="宋体" w:hAnsi="宋体" w:eastAsia="宋体" w:cs="宋体"/>
          <w:i w:val="0"/>
          <w:iCs w:val="0"/>
          <w:caps w:val="0"/>
          <w:color w:val="333333"/>
          <w:spacing w:val="0"/>
          <w:kern w:val="0"/>
          <w:sz w:val="24"/>
          <w:szCs w:val="24"/>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ourceHanSansCN-Regular">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3DAA14"/>
    <w:multiLevelType w:val="singleLevel"/>
    <w:tmpl w:val="A73DAA1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OTQxYzhjODMyMDAzZmE0MDJkMWFkNmJlNDkwYTUifQ=="/>
  </w:docVars>
  <w:rsids>
    <w:rsidRoot w:val="00000000"/>
    <w:rsid w:val="15075384"/>
    <w:rsid w:val="24A91532"/>
    <w:rsid w:val="4298055A"/>
    <w:rsid w:val="7BC111EF"/>
    <w:rsid w:val="7F973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正文ZZ"/>
    <w:basedOn w:val="1"/>
    <w:qFormat/>
    <w:uiPriority w:val="0"/>
    <w:rPr>
      <w:kern w:val="0"/>
      <w:sz w:val="20"/>
      <w:szCs w:val="20"/>
    </w:rPr>
  </w:style>
  <w:style w:type="paragraph" w:styleId="3">
    <w:name w:val="Body Text"/>
    <w:basedOn w:val="1"/>
    <w:qFormat/>
    <w:uiPriority w:val="1"/>
    <w:rPr>
      <w:rFonts w:ascii="宋体" w:hAnsi="宋体" w:eastAsia="宋体" w:cs="宋体"/>
      <w:sz w:val="24"/>
      <w:szCs w:val="24"/>
      <w:lang w:val="zh-CN" w:eastAsia="zh-CN" w:bidi="zh-CN"/>
    </w:rPr>
  </w:style>
  <w:style w:type="paragraph" w:customStyle="1" w:styleId="6">
    <w:name w:val="正文1"/>
    <w:next w:val="1"/>
    <w:qFormat/>
    <w:uiPriority w:val="0"/>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2024-03-23T03:31:00Z</dcterms:created>
  <dc:creator>ASUS</dc:creator>
  <cp:lastModifiedBy>言。  己</cp:lastModifiedBy>
  <dcterms:modified xsi:type="dcterms:W3CDTF">2024-03-29T03:36:28Z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ICV">
    <vt:lpwstr>FFDC0E60AA8444249982CA7D106E7417_12</vt:lpwstr>
  </property>
</Properties>
</file>